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A4" w:rsidRPr="002F001B" w:rsidRDefault="00B17BA4" w:rsidP="00B17BA4">
      <w:pPr>
        <w:spacing w:after="0"/>
        <w:jc w:val="center"/>
        <w:rPr>
          <w:rFonts w:ascii="Georgia" w:hAnsi="Georgia"/>
          <w:sz w:val="24"/>
          <w:szCs w:val="24"/>
        </w:rPr>
      </w:pPr>
    </w:p>
    <w:p w:rsidR="00B17BA4" w:rsidRPr="002F001B" w:rsidRDefault="00B17BA4" w:rsidP="00B17BA4">
      <w:pPr>
        <w:spacing w:after="0"/>
        <w:rPr>
          <w:rFonts w:ascii="Georgia" w:hAnsi="Georgia"/>
          <w:b/>
        </w:rPr>
      </w:pPr>
      <w:r>
        <w:rPr>
          <w:rFonts w:ascii="Georgia" w:hAnsi="Georgia"/>
          <w:b/>
        </w:rPr>
        <w:t>Blog Post #</w:t>
      </w:r>
      <w:r w:rsidR="00F11556">
        <w:rPr>
          <w:rFonts w:ascii="Georgia" w:hAnsi="Georgia"/>
          <w:b/>
        </w:rPr>
        <w:t>6</w:t>
      </w:r>
      <w:r w:rsidRPr="002F001B">
        <w:rPr>
          <w:rFonts w:ascii="Georgia" w:hAnsi="Georgia"/>
          <w:b/>
        </w:rPr>
        <w:t xml:space="preserve"> Due: </w:t>
      </w:r>
      <w:r w:rsidR="00F11556">
        <w:rPr>
          <w:rFonts w:ascii="Georgia" w:hAnsi="Georgia"/>
          <w:b/>
        </w:rPr>
        <w:t>Friday 4/8</w:t>
      </w:r>
      <w:r>
        <w:rPr>
          <w:rFonts w:ascii="Georgia" w:hAnsi="Georgia"/>
          <w:b/>
        </w:rPr>
        <w:t xml:space="preserve">, </w:t>
      </w:r>
      <w:r w:rsidRPr="000373F7">
        <w:rPr>
          <w:rFonts w:ascii="Georgia" w:hAnsi="Georgia"/>
        </w:rPr>
        <w:t>posted to class blog</w:t>
      </w:r>
      <w:r w:rsidRPr="000373F7">
        <w:rPr>
          <w:rFonts w:ascii="Georgia" w:hAnsi="Georgia"/>
        </w:rPr>
        <w:tab/>
      </w:r>
      <w:r w:rsidRPr="002F001B">
        <w:rPr>
          <w:rFonts w:ascii="Georgia" w:hAnsi="Georgia"/>
          <w:b/>
        </w:rPr>
        <w:t xml:space="preserve"> </w:t>
      </w:r>
    </w:p>
    <w:p w:rsidR="00B17BA4" w:rsidRPr="000373F7" w:rsidRDefault="00B17BA4" w:rsidP="00B17BA4">
      <w:pPr>
        <w:spacing w:after="0"/>
        <w:rPr>
          <w:rFonts w:ascii="Georgia" w:hAnsi="Georgia"/>
        </w:rPr>
      </w:pPr>
      <w:r>
        <w:rPr>
          <w:rFonts w:ascii="Georgia" w:hAnsi="Georgia"/>
          <w:b/>
        </w:rPr>
        <w:t>Blog Post</w:t>
      </w:r>
      <w:r w:rsidRPr="002F001B">
        <w:rPr>
          <w:rFonts w:ascii="Georgia" w:hAnsi="Georgia"/>
          <w:b/>
        </w:rPr>
        <w:t xml:space="preserve"> #</w:t>
      </w:r>
      <w:r w:rsidR="00F11556">
        <w:rPr>
          <w:rFonts w:ascii="Georgia" w:hAnsi="Georgia"/>
          <w:b/>
        </w:rPr>
        <w:t>7</w:t>
      </w:r>
      <w:r w:rsidRPr="002F001B">
        <w:rPr>
          <w:rFonts w:ascii="Georgia" w:hAnsi="Georgia"/>
          <w:b/>
        </w:rPr>
        <w:t xml:space="preserve"> Due: </w:t>
      </w:r>
      <w:r w:rsidR="00F11556">
        <w:rPr>
          <w:rFonts w:ascii="Georgia" w:hAnsi="Georgia"/>
          <w:b/>
        </w:rPr>
        <w:t>Friday 4/29</w:t>
      </w:r>
      <w:r>
        <w:rPr>
          <w:rFonts w:ascii="Georgia" w:hAnsi="Georgia"/>
          <w:b/>
        </w:rPr>
        <w:t xml:space="preserve"> </w:t>
      </w:r>
      <w:r w:rsidRPr="000373F7">
        <w:rPr>
          <w:rFonts w:ascii="Georgia" w:hAnsi="Georgia"/>
        </w:rPr>
        <w:t xml:space="preserve">posted to class blog </w:t>
      </w:r>
    </w:p>
    <w:p w:rsidR="00B17BA4" w:rsidRPr="002F001B" w:rsidRDefault="00B17BA4" w:rsidP="00B17BA4">
      <w:pPr>
        <w:spacing w:after="0"/>
        <w:rPr>
          <w:rFonts w:ascii="Georgia" w:hAnsi="Georgia"/>
        </w:rPr>
      </w:pPr>
      <w:r w:rsidRPr="002F001B">
        <w:rPr>
          <w:rFonts w:ascii="Georgia" w:hAnsi="Georgia"/>
          <w:b/>
        </w:rPr>
        <w:t xml:space="preserve">Length: </w:t>
      </w:r>
      <w:r w:rsidRPr="002F001B">
        <w:rPr>
          <w:rFonts w:ascii="Georgia" w:hAnsi="Georgia"/>
        </w:rPr>
        <w:t>250-500 words (1-2 pages double spaced in MS Word)</w:t>
      </w:r>
    </w:p>
    <w:p w:rsidR="00B17BA4" w:rsidRPr="002F001B" w:rsidRDefault="00B17BA4" w:rsidP="00B17BA4">
      <w:pPr>
        <w:spacing w:after="0"/>
        <w:rPr>
          <w:rFonts w:ascii="Georgia" w:hAnsi="Georgia"/>
        </w:rPr>
      </w:pPr>
    </w:p>
    <w:p w:rsidR="00B17BA4" w:rsidRPr="002F001B" w:rsidRDefault="00B17BA4" w:rsidP="00B17BA4">
      <w:pPr>
        <w:spacing w:after="0"/>
        <w:rPr>
          <w:rFonts w:ascii="Georgia" w:hAnsi="Georgia"/>
        </w:rPr>
      </w:pPr>
      <w:r>
        <w:rPr>
          <w:rFonts w:ascii="Georgia" w:hAnsi="Georgia"/>
        </w:rPr>
        <w:t>The prompt for your last two posts are the same.  Y</w:t>
      </w:r>
      <w:r w:rsidRPr="002F001B">
        <w:rPr>
          <w:rFonts w:ascii="Georgia" w:hAnsi="Georgia"/>
        </w:rPr>
        <w:t xml:space="preserve">ou have </w:t>
      </w:r>
      <w:r w:rsidR="00F11556">
        <w:rPr>
          <w:rFonts w:ascii="Georgia" w:hAnsi="Georgia"/>
        </w:rPr>
        <w:t>2</w:t>
      </w:r>
      <w:r w:rsidRPr="002F001B">
        <w:rPr>
          <w:rFonts w:ascii="Georgia" w:hAnsi="Georgia"/>
        </w:rPr>
        <w:t xml:space="preserve"> options</w:t>
      </w:r>
      <w:r>
        <w:rPr>
          <w:rFonts w:ascii="Georgia" w:hAnsi="Georgia"/>
        </w:rPr>
        <w:t xml:space="preserve"> for topics and your post must be between 250-500 words in length. </w:t>
      </w:r>
      <w:r w:rsidRPr="002F001B">
        <w:rPr>
          <w:rFonts w:ascii="Georgia" w:hAnsi="Georgia"/>
        </w:rPr>
        <w:t xml:space="preserve">Feel free to draw on any of our class readings—literary, critical or primary texts and/or our class discussion.  </w:t>
      </w:r>
    </w:p>
    <w:p w:rsidR="00B17BA4" w:rsidRDefault="00B17BA4" w:rsidP="00B17BA4">
      <w:pPr>
        <w:spacing w:after="0"/>
        <w:rPr>
          <w:rFonts w:ascii="Georgia" w:hAnsi="Georgia"/>
        </w:rPr>
      </w:pPr>
    </w:p>
    <w:p w:rsidR="00B17BA4" w:rsidRPr="002F001B" w:rsidRDefault="00B17BA4" w:rsidP="00B17BA4">
      <w:pPr>
        <w:spacing w:after="0"/>
        <w:rPr>
          <w:rFonts w:ascii="Georgia" w:hAnsi="Georgia"/>
        </w:rPr>
      </w:pPr>
      <w:r>
        <w:rPr>
          <w:rFonts w:ascii="Georgia" w:hAnsi="Georgia"/>
        </w:rPr>
        <w:t>I encourage you to make use of our blog format and include multimodal features such as links, images, or videos.  Please cite all of your sources with author and page number (for written texts) and with links to original material (for visuals).</w:t>
      </w:r>
    </w:p>
    <w:p w:rsidR="00B17BA4" w:rsidRDefault="00B17BA4" w:rsidP="00B17BA4">
      <w:pPr>
        <w:spacing w:after="0"/>
        <w:rPr>
          <w:rFonts w:ascii="Georgia" w:hAnsi="Georgia"/>
        </w:rPr>
      </w:pPr>
    </w:p>
    <w:p w:rsidR="00B17BA4" w:rsidRPr="000373F7" w:rsidRDefault="00B17BA4" w:rsidP="00B17BA4">
      <w:pPr>
        <w:spacing w:after="0"/>
        <w:rPr>
          <w:rFonts w:ascii="Georgia" w:hAnsi="Georgia"/>
          <w:u w:val="single"/>
        </w:rPr>
      </w:pPr>
      <w:r w:rsidRPr="000373F7">
        <w:rPr>
          <w:rFonts w:ascii="Georgia" w:hAnsi="Georgia"/>
          <w:u w:val="single"/>
        </w:rPr>
        <w:t xml:space="preserve">Option A: Extended Close Reading </w:t>
      </w:r>
    </w:p>
    <w:p w:rsidR="00B17BA4" w:rsidRPr="002F001B" w:rsidRDefault="00B17BA4" w:rsidP="00B17BA4">
      <w:pPr>
        <w:pStyle w:val="ListParagraph"/>
        <w:numPr>
          <w:ilvl w:val="0"/>
          <w:numId w:val="2"/>
        </w:numPr>
        <w:spacing w:after="0"/>
        <w:rPr>
          <w:rFonts w:ascii="Georgia" w:hAnsi="Georgia"/>
        </w:rPr>
      </w:pPr>
      <w:r w:rsidRPr="002F001B">
        <w:rPr>
          <w:rFonts w:ascii="Georgia" w:hAnsi="Georgia"/>
        </w:rPr>
        <w:t xml:space="preserve">Using your close reading skills analyze a passage from one of our class texts.  Work to draw out the implications in the text.  </w:t>
      </w:r>
    </w:p>
    <w:p w:rsidR="00B17BA4" w:rsidRPr="002F001B" w:rsidRDefault="00B17BA4" w:rsidP="00B17BA4">
      <w:pPr>
        <w:pStyle w:val="ListParagraph"/>
        <w:numPr>
          <w:ilvl w:val="0"/>
          <w:numId w:val="2"/>
        </w:numPr>
        <w:spacing w:after="0"/>
        <w:rPr>
          <w:rFonts w:ascii="Georgia" w:hAnsi="Georgia"/>
        </w:rPr>
      </w:pPr>
      <w:r w:rsidRPr="002F001B">
        <w:rPr>
          <w:rFonts w:ascii="Georgia" w:hAnsi="Georgia"/>
        </w:rPr>
        <w:t xml:space="preserve">See directions on the prompt for </w:t>
      </w:r>
      <w:r w:rsidR="00F11556">
        <w:rPr>
          <w:rFonts w:ascii="Georgia" w:hAnsi="Georgia"/>
        </w:rPr>
        <w:t>Post</w:t>
      </w:r>
      <w:r w:rsidRPr="00B17BA4">
        <w:rPr>
          <w:rFonts w:ascii="Georgia" w:hAnsi="Georgia"/>
        </w:rPr>
        <w:t xml:space="preserve"> #1</w:t>
      </w:r>
      <w:bookmarkStart w:id="0" w:name="_GoBack"/>
      <w:bookmarkEnd w:id="0"/>
    </w:p>
    <w:p w:rsidR="00B17BA4" w:rsidRDefault="00B17BA4" w:rsidP="00B17BA4">
      <w:pPr>
        <w:spacing w:after="0"/>
        <w:rPr>
          <w:rFonts w:ascii="Georgia" w:hAnsi="Georgia"/>
        </w:rPr>
      </w:pPr>
    </w:p>
    <w:p w:rsidR="00B17BA4" w:rsidRPr="000373F7" w:rsidRDefault="00B17BA4" w:rsidP="00B17BA4">
      <w:pPr>
        <w:spacing w:after="0"/>
        <w:rPr>
          <w:rFonts w:ascii="Georgia" w:hAnsi="Georgia"/>
          <w:u w:val="single"/>
        </w:rPr>
      </w:pPr>
      <w:r w:rsidRPr="000373F7">
        <w:rPr>
          <w:rFonts w:ascii="Georgia" w:hAnsi="Georgia"/>
          <w:u w:val="single"/>
        </w:rPr>
        <w:t xml:space="preserve">Option B: Use a Lens </w:t>
      </w:r>
    </w:p>
    <w:p w:rsidR="00B17BA4" w:rsidRPr="002F001B" w:rsidRDefault="00B17BA4" w:rsidP="00B17BA4">
      <w:pPr>
        <w:pStyle w:val="ListParagraph"/>
        <w:numPr>
          <w:ilvl w:val="0"/>
          <w:numId w:val="1"/>
        </w:numPr>
        <w:spacing w:after="0"/>
        <w:rPr>
          <w:rFonts w:ascii="Georgia" w:hAnsi="Georgia"/>
        </w:rPr>
      </w:pPr>
      <w:r w:rsidRPr="002F001B">
        <w:rPr>
          <w:rFonts w:ascii="Georgia" w:hAnsi="Georgia"/>
        </w:rPr>
        <w:t>Use one of our in-class texts as a lens to look at another one of our in-class texts.</w:t>
      </w:r>
    </w:p>
    <w:p w:rsidR="00B17BA4" w:rsidRPr="002F001B" w:rsidRDefault="00B17BA4" w:rsidP="00B17BA4">
      <w:pPr>
        <w:pStyle w:val="ListParagraph"/>
        <w:numPr>
          <w:ilvl w:val="0"/>
          <w:numId w:val="1"/>
        </w:numPr>
        <w:spacing w:after="0"/>
        <w:rPr>
          <w:rFonts w:ascii="Georgia" w:hAnsi="Georgia"/>
        </w:rPr>
      </w:pPr>
      <w:r w:rsidRPr="002F001B">
        <w:rPr>
          <w:rFonts w:ascii="Georgia" w:hAnsi="Georgia"/>
        </w:rPr>
        <w:t>Use one of our in-class texts as a lens to look at a text of your choosing (from outside of the class)</w:t>
      </w:r>
    </w:p>
    <w:p w:rsidR="00B17BA4" w:rsidRPr="002F001B" w:rsidRDefault="00B17BA4" w:rsidP="00B17BA4">
      <w:pPr>
        <w:pStyle w:val="ListParagraph"/>
        <w:numPr>
          <w:ilvl w:val="0"/>
          <w:numId w:val="1"/>
        </w:numPr>
        <w:spacing w:after="0"/>
        <w:rPr>
          <w:rFonts w:ascii="Georgia" w:hAnsi="Georgia"/>
        </w:rPr>
      </w:pPr>
      <w:r w:rsidRPr="002F001B">
        <w:rPr>
          <w:rFonts w:ascii="Georgia" w:hAnsi="Georgia"/>
        </w:rPr>
        <w:t xml:space="preserve">See the prompt for </w:t>
      </w:r>
      <w:r w:rsidR="00F11556">
        <w:rPr>
          <w:rFonts w:ascii="Georgia" w:hAnsi="Georgia"/>
        </w:rPr>
        <w:t>Post #3</w:t>
      </w:r>
    </w:p>
    <w:p w:rsidR="00B17BA4" w:rsidRDefault="00B17BA4" w:rsidP="00B17BA4">
      <w:pPr>
        <w:spacing w:after="0"/>
        <w:rPr>
          <w:rFonts w:ascii="Georgia" w:hAnsi="Georgia"/>
        </w:rPr>
      </w:pPr>
    </w:p>
    <w:p w:rsidR="00B17BA4" w:rsidRDefault="00B17BA4" w:rsidP="00B17BA4">
      <w:pPr>
        <w:spacing w:after="0"/>
        <w:rPr>
          <w:rFonts w:ascii="Georgia" w:hAnsi="Georgia"/>
          <w:i/>
        </w:rPr>
      </w:pPr>
    </w:p>
    <w:p w:rsidR="00B17BA4" w:rsidRPr="000373F7" w:rsidRDefault="00B17BA4" w:rsidP="00B17BA4">
      <w:pPr>
        <w:spacing w:after="0"/>
        <w:rPr>
          <w:rFonts w:ascii="Georgia" w:hAnsi="Georgia"/>
          <w:i/>
        </w:rPr>
      </w:pPr>
      <w:r w:rsidRPr="000373F7">
        <w:rPr>
          <w:rFonts w:ascii="Georgia" w:hAnsi="Georgia"/>
          <w:i/>
        </w:rPr>
        <w:t>**</w:t>
      </w:r>
      <w:r>
        <w:rPr>
          <w:rFonts w:ascii="Georgia" w:hAnsi="Georgia"/>
          <w:i/>
        </w:rPr>
        <w:t xml:space="preserve"> </w:t>
      </w:r>
      <w:r w:rsidRPr="000373F7">
        <w:rPr>
          <w:rFonts w:ascii="Georgia" w:hAnsi="Georgia"/>
          <w:i/>
        </w:rPr>
        <w:t>Tip</w:t>
      </w:r>
      <w:r>
        <w:rPr>
          <w:rFonts w:ascii="Georgia" w:hAnsi="Georgia"/>
          <w:i/>
        </w:rPr>
        <w:t>s</w:t>
      </w:r>
      <w:r w:rsidRPr="000373F7">
        <w:rPr>
          <w:rFonts w:ascii="Georgia" w:hAnsi="Georgia"/>
          <w:i/>
        </w:rPr>
        <w:t>: As always, focus your post on a few lines, a few words, or a few small details.  Don’t try to write about everything.  Instead really look closely at your text and try to draw out implications.</w:t>
      </w:r>
      <w:r>
        <w:rPr>
          <w:rFonts w:ascii="Georgia" w:hAnsi="Georgia"/>
          <w:i/>
        </w:rPr>
        <w:t xml:space="preserve"> Tell me what you think and why you think it.  Try taking a risk! **</w:t>
      </w:r>
      <w:r w:rsidRPr="000373F7">
        <w:rPr>
          <w:rFonts w:ascii="Georgia" w:hAnsi="Georgia"/>
          <w:i/>
        </w:rPr>
        <w:t xml:space="preserve">  </w:t>
      </w:r>
    </w:p>
    <w:p w:rsidR="00B17BA4" w:rsidRDefault="00B17BA4" w:rsidP="00B17BA4">
      <w:pPr>
        <w:spacing w:after="0"/>
        <w:rPr>
          <w:rFonts w:ascii="Georgia" w:hAnsi="Georgia"/>
          <w:i/>
        </w:rPr>
      </w:pPr>
    </w:p>
    <w:p w:rsidR="00B17BA4" w:rsidRPr="002F001B" w:rsidRDefault="00B17BA4" w:rsidP="00B17BA4">
      <w:pPr>
        <w:spacing w:after="0"/>
        <w:rPr>
          <w:rFonts w:ascii="Georgia" w:hAnsi="Georgia"/>
        </w:rPr>
      </w:pPr>
      <w:r w:rsidRPr="000373F7">
        <w:rPr>
          <w:rFonts w:ascii="Georgia" w:hAnsi="Georgia"/>
          <w:noProof/>
        </w:rPr>
        <mc:AlternateContent>
          <mc:Choice Requires="wps">
            <w:drawing>
              <wp:anchor distT="0" distB="0" distL="114300" distR="114300" simplePos="0" relativeHeight="251659264" behindDoc="0" locked="0" layoutInCell="1" allowOverlap="1" wp14:anchorId="181A6537" wp14:editId="47A9B87C">
                <wp:simplePos x="0" y="0"/>
                <wp:positionH relativeFrom="column">
                  <wp:align>center</wp:align>
                </wp:positionH>
                <wp:positionV relativeFrom="paragraph">
                  <wp:posOffset>0</wp:posOffset>
                </wp:positionV>
                <wp:extent cx="5288280" cy="1403985"/>
                <wp:effectExtent l="0" t="0" r="2667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17BA4" w:rsidRPr="002F001B" w:rsidRDefault="00B17BA4" w:rsidP="00B17BA4">
                            <w:pPr>
                              <w:spacing w:after="0"/>
                              <w:rPr>
                                <w:rFonts w:ascii="Georgia" w:hAnsi="Georgia"/>
                              </w:rPr>
                            </w:pPr>
                            <w:r w:rsidRPr="000373F7">
                              <w:rPr>
                                <w:rFonts w:ascii="Georgia" w:hAnsi="Georgia"/>
                              </w:rPr>
                              <w:t xml:space="preserve">Stuck?  </w:t>
                            </w:r>
                            <w:r w:rsidRPr="002F001B">
                              <w:rPr>
                                <w:rFonts w:ascii="Georgia" w:hAnsi="Georgia"/>
                                <w:i/>
                              </w:rPr>
                              <w:t xml:space="preserve">Writing Analytically </w:t>
                            </w:r>
                            <w:r w:rsidRPr="002F001B">
                              <w:rPr>
                                <w:rFonts w:ascii="Georgia" w:hAnsi="Georgia"/>
                              </w:rPr>
                              <w:t xml:space="preserve">has a number of useful passages </w:t>
                            </w:r>
                            <w:r>
                              <w:rPr>
                                <w:rFonts w:ascii="Georgia" w:hAnsi="Georgia"/>
                              </w:rPr>
                              <w:t>that provide strategies for completing a</w:t>
                            </w:r>
                            <w:r w:rsidRPr="002F001B">
                              <w:rPr>
                                <w:rFonts w:ascii="Georgia" w:hAnsi="Georgia"/>
                              </w:rPr>
                              <w:t xml:space="preserve">nalytical writing exercises like ours.  </w:t>
                            </w:r>
                            <w:r>
                              <w:rPr>
                                <w:rFonts w:ascii="Georgia" w:hAnsi="Georgia"/>
                              </w:rPr>
                              <w:t>In particular, s</w:t>
                            </w:r>
                            <w:r w:rsidRPr="002F001B">
                              <w:rPr>
                                <w:rFonts w:ascii="Georgia" w:hAnsi="Georgia"/>
                              </w:rPr>
                              <w:t xml:space="preserve">ee: </w:t>
                            </w:r>
                          </w:p>
                          <w:p w:rsidR="00B17BA4" w:rsidRPr="002F001B" w:rsidRDefault="00B17BA4" w:rsidP="00B17BA4">
                            <w:pPr>
                              <w:pStyle w:val="ListParagraph"/>
                              <w:numPr>
                                <w:ilvl w:val="0"/>
                                <w:numId w:val="4"/>
                              </w:numPr>
                              <w:spacing w:after="0"/>
                              <w:rPr>
                                <w:rFonts w:ascii="Georgia" w:hAnsi="Georgia"/>
                              </w:rPr>
                            </w:pPr>
                            <w:r w:rsidRPr="002F001B">
                              <w:rPr>
                                <w:rFonts w:ascii="Georgia" w:hAnsi="Georgia"/>
                              </w:rPr>
                              <w:t>“The Method”: pp</w:t>
                            </w:r>
                            <w:r>
                              <w:rPr>
                                <w:rFonts w:ascii="Georgia" w:hAnsi="Georgia"/>
                              </w:rPr>
                              <w:t xml:space="preserve"> </w:t>
                            </w:r>
                            <w:r w:rsidRPr="002F001B">
                              <w:rPr>
                                <w:rFonts w:ascii="Georgia" w:hAnsi="Georgia"/>
                              </w:rPr>
                              <w:t>26-30</w:t>
                            </w:r>
                          </w:p>
                          <w:p w:rsidR="00B17BA4" w:rsidRPr="002F001B" w:rsidRDefault="00B17BA4" w:rsidP="00B17BA4">
                            <w:pPr>
                              <w:pStyle w:val="ListParagraph"/>
                              <w:numPr>
                                <w:ilvl w:val="0"/>
                                <w:numId w:val="4"/>
                              </w:numPr>
                              <w:spacing w:after="0"/>
                              <w:rPr>
                                <w:rFonts w:ascii="Georgia" w:hAnsi="Georgia"/>
                              </w:rPr>
                            </w:pPr>
                            <w:r w:rsidRPr="002F001B">
                              <w:rPr>
                                <w:rFonts w:ascii="Georgia" w:hAnsi="Georgia"/>
                              </w:rPr>
                              <w:t>“Making Common Topics More Analytical”: pp 151-161 (especially “Personal Response: The Reaction Paper”)</w:t>
                            </w:r>
                          </w:p>
                          <w:p w:rsidR="00B17BA4" w:rsidRPr="002F001B" w:rsidRDefault="00B17BA4" w:rsidP="00B17BA4">
                            <w:pPr>
                              <w:pStyle w:val="ListParagraph"/>
                              <w:numPr>
                                <w:ilvl w:val="0"/>
                                <w:numId w:val="4"/>
                              </w:numPr>
                              <w:spacing w:after="0"/>
                              <w:rPr>
                                <w:rFonts w:ascii="Georgia" w:hAnsi="Georgia"/>
                              </w:rPr>
                            </w:pPr>
                            <w:r w:rsidRPr="002F001B">
                              <w:rPr>
                                <w:rFonts w:ascii="Georgia" w:hAnsi="Georgia"/>
                              </w:rPr>
                              <w:t>Entering the Thinking in a Reading: Uncovering Assumptions and Reformulating Binaries”: pp 114-117</w:t>
                            </w:r>
                          </w:p>
                          <w:p w:rsidR="00B17BA4" w:rsidRPr="002F001B" w:rsidRDefault="00B17BA4" w:rsidP="00B17BA4">
                            <w:pPr>
                              <w:pStyle w:val="ListParagraph"/>
                              <w:numPr>
                                <w:ilvl w:val="0"/>
                                <w:numId w:val="4"/>
                              </w:numPr>
                              <w:spacing w:after="0"/>
                              <w:rPr>
                                <w:rFonts w:ascii="Georgia" w:hAnsi="Georgia"/>
                              </w:rPr>
                            </w:pPr>
                            <w:r w:rsidRPr="002F001B">
                              <w:rPr>
                                <w:rFonts w:ascii="Georgia" w:hAnsi="Georgia"/>
                              </w:rPr>
                              <w:t>“Apply a Reading as a Lens”: pp 118-120</w:t>
                            </w:r>
                          </w:p>
                          <w:p w:rsidR="00B17BA4" w:rsidRPr="000373F7" w:rsidRDefault="00B17BA4" w:rsidP="00B17BA4">
                            <w:pPr>
                              <w:pStyle w:val="ListParagraph"/>
                              <w:numPr>
                                <w:ilvl w:val="0"/>
                                <w:numId w:val="4"/>
                              </w:numPr>
                              <w:spacing w:after="0"/>
                              <w:rPr>
                                <w:rFonts w:ascii="Georgia" w:hAnsi="Georgia"/>
                              </w:rPr>
                            </w:pPr>
                            <w:r w:rsidRPr="000373F7">
                              <w:rPr>
                                <w:rFonts w:ascii="Georgia" w:hAnsi="Georgia"/>
                              </w:rPr>
                              <w:t>“Making an Interpretation” (working with a visual text): pp</w:t>
                            </w:r>
                            <w:r>
                              <w:rPr>
                                <w:rFonts w:ascii="Georgia" w:hAnsi="Georgia"/>
                              </w:rPr>
                              <w:t xml:space="preserve"> </w:t>
                            </w:r>
                            <w:r w:rsidRPr="000373F7">
                              <w:rPr>
                                <w:rFonts w:ascii="Georgia" w:hAnsi="Georgia"/>
                              </w:rPr>
                              <w:t>142-147</w:t>
                            </w:r>
                          </w:p>
                          <w:p w:rsidR="00B17BA4" w:rsidRDefault="00B17BA4" w:rsidP="00B17B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1A6537" id="_x0000_t202" coordsize="21600,21600" o:spt="202" path="m,l,21600r21600,l21600,xe">
                <v:stroke joinstyle="miter"/>
                <v:path gradientshapeok="t" o:connecttype="rect"/>
              </v:shapetype>
              <v:shape id="Text Box 2" o:spid="_x0000_s1026" type="#_x0000_t202" style="position:absolute;margin-left:0;margin-top:0;width:416.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" fillcolor="white [3201]" strokecolor="black [3200]" strokeweight="2pt">
                <v:textbox style="mso-fit-shape-to-text:t">
                  <w:txbxContent>
                    <w:p w:rsidR="00B17BA4" w:rsidRPr="002F001B" w:rsidRDefault="00B17BA4" w:rsidP="00B17BA4">
                      <w:pPr>
                        <w:spacing w:after="0"/>
                        <w:rPr>
                          <w:rFonts w:ascii="Georgia" w:hAnsi="Georgia"/>
                        </w:rPr>
                      </w:pPr>
                      <w:r w:rsidRPr="000373F7">
                        <w:rPr>
                          <w:rFonts w:ascii="Georgia" w:hAnsi="Georgia"/>
                        </w:rPr>
                        <w:t xml:space="preserve">Stuck?  </w:t>
                      </w:r>
                      <w:r w:rsidRPr="002F001B">
                        <w:rPr>
                          <w:rFonts w:ascii="Georgia" w:hAnsi="Georgia"/>
                          <w:i/>
                        </w:rPr>
                        <w:t xml:space="preserve">Writing Analytically </w:t>
                      </w:r>
                      <w:r w:rsidRPr="002F001B">
                        <w:rPr>
                          <w:rFonts w:ascii="Georgia" w:hAnsi="Georgia"/>
                        </w:rPr>
                        <w:t xml:space="preserve">has a number of useful passages </w:t>
                      </w:r>
                      <w:r>
                        <w:rPr>
                          <w:rFonts w:ascii="Georgia" w:hAnsi="Georgia"/>
                        </w:rPr>
                        <w:t>that provide strategies for completing a</w:t>
                      </w:r>
                      <w:r w:rsidRPr="002F001B">
                        <w:rPr>
                          <w:rFonts w:ascii="Georgia" w:hAnsi="Georgia"/>
                        </w:rPr>
                        <w:t xml:space="preserve">nalytical writing exercises like ours.  </w:t>
                      </w:r>
                      <w:r>
                        <w:rPr>
                          <w:rFonts w:ascii="Georgia" w:hAnsi="Georgia"/>
                        </w:rPr>
                        <w:t>In particular, s</w:t>
                      </w:r>
                      <w:r w:rsidRPr="002F001B">
                        <w:rPr>
                          <w:rFonts w:ascii="Georgia" w:hAnsi="Georgia"/>
                        </w:rPr>
                        <w:t xml:space="preserve">ee: </w:t>
                      </w:r>
                    </w:p>
                    <w:p w:rsidR="00B17BA4" w:rsidRPr="002F001B" w:rsidRDefault="00B17BA4" w:rsidP="00B17BA4">
                      <w:pPr>
                        <w:pStyle w:val="ListParagraph"/>
                        <w:numPr>
                          <w:ilvl w:val="0"/>
                          <w:numId w:val="4"/>
                        </w:numPr>
                        <w:spacing w:after="0"/>
                        <w:rPr>
                          <w:rFonts w:ascii="Georgia" w:hAnsi="Georgia"/>
                        </w:rPr>
                      </w:pPr>
                      <w:r w:rsidRPr="002F001B">
                        <w:rPr>
                          <w:rFonts w:ascii="Georgia" w:hAnsi="Georgia"/>
                        </w:rPr>
                        <w:t>“The Method”: pp</w:t>
                      </w:r>
                      <w:r>
                        <w:rPr>
                          <w:rFonts w:ascii="Georgia" w:hAnsi="Georgia"/>
                        </w:rPr>
                        <w:t xml:space="preserve"> </w:t>
                      </w:r>
                      <w:r w:rsidRPr="002F001B">
                        <w:rPr>
                          <w:rFonts w:ascii="Georgia" w:hAnsi="Georgia"/>
                        </w:rPr>
                        <w:t>26-30</w:t>
                      </w:r>
                    </w:p>
                    <w:p w:rsidR="00B17BA4" w:rsidRPr="002F001B" w:rsidRDefault="00B17BA4" w:rsidP="00B17BA4">
                      <w:pPr>
                        <w:pStyle w:val="ListParagraph"/>
                        <w:numPr>
                          <w:ilvl w:val="0"/>
                          <w:numId w:val="4"/>
                        </w:numPr>
                        <w:spacing w:after="0"/>
                        <w:rPr>
                          <w:rFonts w:ascii="Georgia" w:hAnsi="Georgia"/>
                        </w:rPr>
                      </w:pPr>
                      <w:r w:rsidRPr="002F001B">
                        <w:rPr>
                          <w:rFonts w:ascii="Georgia" w:hAnsi="Georgia"/>
                        </w:rPr>
                        <w:t>“Making Common Topics More Analytical”: pp 151-161 (especially “Personal Response: The Reaction Paper”)</w:t>
                      </w:r>
                    </w:p>
                    <w:p w:rsidR="00B17BA4" w:rsidRPr="002F001B" w:rsidRDefault="00B17BA4" w:rsidP="00B17BA4">
                      <w:pPr>
                        <w:pStyle w:val="ListParagraph"/>
                        <w:numPr>
                          <w:ilvl w:val="0"/>
                          <w:numId w:val="4"/>
                        </w:numPr>
                        <w:spacing w:after="0"/>
                        <w:rPr>
                          <w:rFonts w:ascii="Georgia" w:hAnsi="Georgia"/>
                        </w:rPr>
                      </w:pPr>
                      <w:r w:rsidRPr="002F001B">
                        <w:rPr>
                          <w:rFonts w:ascii="Georgia" w:hAnsi="Georgia"/>
                        </w:rPr>
                        <w:t>Entering the Thinking in a Reading: Uncovering Assumptions and Reformulating Binaries”: pp 114-117</w:t>
                      </w:r>
                    </w:p>
                    <w:p w:rsidR="00B17BA4" w:rsidRPr="002F001B" w:rsidRDefault="00B17BA4" w:rsidP="00B17BA4">
                      <w:pPr>
                        <w:pStyle w:val="ListParagraph"/>
                        <w:numPr>
                          <w:ilvl w:val="0"/>
                          <w:numId w:val="4"/>
                        </w:numPr>
                        <w:spacing w:after="0"/>
                        <w:rPr>
                          <w:rFonts w:ascii="Georgia" w:hAnsi="Georgia"/>
                        </w:rPr>
                      </w:pPr>
                      <w:r w:rsidRPr="002F001B">
                        <w:rPr>
                          <w:rFonts w:ascii="Georgia" w:hAnsi="Georgia"/>
                        </w:rPr>
                        <w:t>“Apply a Reading as a Lens”: pp 118-120</w:t>
                      </w:r>
                    </w:p>
                    <w:p w:rsidR="00B17BA4" w:rsidRPr="000373F7" w:rsidRDefault="00B17BA4" w:rsidP="00B17BA4">
                      <w:pPr>
                        <w:pStyle w:val="ListParagraph"/>
                        <w:numPr>
                          <w:ilvl w:val="0"/>
                          <w:numId w:val="4"/>
                        </w:numPr>
                        <w:spacing w:after="0"/>
                        <w:rPr>
                          <w:rFonts w:ascii="Georgia" w:hAnsi="Georgia"/>
                        </w:rPr>
                      </w:pPr>
                      <w:r w:rsidRPr="000373F7">
                        <w:rPr>
                          <w:rFonts w:ascii="Georgia" w:hAnsi="Georgia"/>
                        </w:rPr>
                        <w:t>“Making an Interpretation” (working with a visual text): pp</w:t>
                      </w:r>
                      <w:r>
                        <w:rPr>
                          <w:rFonts w:ascii="Georgia" w:hAnsi="Georgia"/>
                        </w:rPr>
                        <w:t xml:space="preserve"> </w:t>
                      </w:r>
                      <w:r w:rsidRPr="000373F7">
                        <w:rPr>
                          <w:rFonts w:ascii="Georgia" w:hAnsi="Georgia"/>
                        </w:rPr>
                        <w:t>142-147</w:t>
                      </w:r>
                    </w:p>
                    <w:p w:rsidR="00B17BA4" w:rsidRDefault="00B17BA4" w:rsidP="00B17BA4"/>
                  </w:txbxContent>
                </v:textbox>
              </v:shape>
            </w:pict>
          </mc:Fallback>
        </mc:AlternateContent>
      </w:r>
    </w:p>
    <w:p w:rsidR="002B39E8" w:rsidRDefault="00925BB5"/>
    <w:sectPr w:rsidR="002B39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BB5" w:rsidRDefault="00925BB5" w:rsidP="00B17BA4">
      <w:pPr>
        <w:spacing w:after="0" w:line="240" w:lineRule="auto"/>
      </w:pPr>
      <w:r>
        <w:separator/>
      </w:r>
    </w:p>
  </w:endnote>
  <w:endnote w:type="continuationSeparator" w:id="0">
    <w:p w:rsidR="00925BB5" w:rsidRDefault="00925BB5" w:rsidP="00B1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BB5" w:rsidRDefault="00925BB5" w:rsidP="00B17BA4">
      <w:pPr>
        <w:spacing w:after="0" w:line="240" w:lineRule="auto"/>
      </w:pPr>
      <w:r>
        <w:separator/>
      </w:r>
    </w:p>
  </w:footnote>
  <w:footnote w:type="continuationSeparator" w:id="0">
    <w:p w:rsidR="00925BB5" w:rsidRDefault="00925BB5" w:rsidP="00B17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F7" w:rsidRPr="00B17BA4" w:rsidRDefault="00B17BA4" w:rsidP="000373F7">
    <w:pPr>
      <w:spacing w:after="0"/>
      <w:jc w:val="right"/>
      <w:rPr>
        <w:rFonts w:ascii="Georgia" w:hAnsi="Georgia"/>
        <w:sz w:val="24"/>
        <w:szCs w:val="24"/>
      </w:rPr>
    </w:pPr>
    <w:r>
      <w:rPr>
        <w:rFonts w:ascii="Georgia" w:hAnsi="Georgia"/>
        <w:i/>
        <w:sz w:val="24"/>
        <w:szCs w:val="24"/>
      </w:rPr>
      <w:t xml:space="preserve">Queer Studies: </w:t>
    </w:r>
    <w:r w:rsidR="00F11556">
      <w:rPr>
        <w:rFonts w:ascii="Georgia" w:hAnsi="Georgia"/>
        <w:sz w:val="24"/>
        <w:szCs w:val="24"/>
      </w:rPr>
      <w:t>Blog Posts 6 &amp; 7</w:t>
    </w:r>
  </w:p>
  <w:p w:rsidR="000373F7" w:rsidRDefault="00925BB5" w:rsidP="000373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A47CC"/>
    <w:multiLevelType w:val="hybridMultilevel"/>
    <w:tmpl w:val="A63E1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0752ED"/>
    <w:multiLevelType w:val="hybridMultilevel"/>
    <w:tmpl w:val="34563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142E98"/>
    <w:multiLevelType w:val="hybridMultilevel"/>
    <w:tmpl w:val="60923B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17382A"/>
    <w:multiLevelType w:val="hybridMultilevel"/>
    <w:tmpl w:val="A9BC0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B3"/>
    <w:rsid w:val="000319D6"/>
    <w:rsid w:val="002B13BC"/>
    <w:rsid w:val="005519D2"/>
    <w:rsid w:val="00925BB5"/>
    <w:rsid w:val="00A521B3"/>
    <w:rsid w:val="00B17BA4"/>
    <w:rsid w:val="00F1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898DC-C533-43D9-83E7-89EE483A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BA4"/>
    <w:pPr>
      <w:ind w:left="720"/>
      <w:contextualSpacing/>
    </w:pPr>
  </w:style>
  <w:style w:type="character" w:styleId="Hyperlink">
    <w:name w:val="Hyperlink"/>
    <w:basedOn w:val="DefaultParagraphFont"/>
    <w:uiPriority w:val="99"/>
    <w:unhideWhenUsed/>
    <w:rsid w:val="00B17BA4"/>
    <w:rPr>
      <w:color w:val="0000FF" w:themeColor="hyperlink"/>
      <w:u w:val="single"/>
    </w:rPr>
  </w:style>
  <w:style w:type="paragraph" w:styleId="Header">
    <w:name w:val="header"/>
    <w:basedOn w:val="Normal"/>
    <w:link w:val="HeaderChar"/>
    <w:uiPriority w:val="99"/>
    <w:unhideWhenUsed/>
    <w:rsid w:val="00B1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BA4"/>
  </w:style>
  <w:style w:type="paragraph" w:styleId="Footer">
    <w:name w:val="footer"/>
    <w:basedOn w:val="Normal"/>
    <w:link w:val="FooterChar"/>
    <w:uiPriority w:val="99"/>
    <w:unhideWhenUsed/>
    <w:rsid w:val="00B1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BA4"/>
  </w:style>
  <w:style w:type="paragraph" w:styleId="BalloonText">
    <w:name w:val="Balloon Text"/>
    <w:basedOn w:val="Normal"/>
    <w:link w:val="BalloonTextChar"/>
    <w:uiPriority w:val="99"/>
    <w:semiHidden/>
    <w:unhideWhenUsed/>
    <w:rsid w:val="00F11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1178</Characters>
  <Application>Microsoft Office Word</Application>
  <DocSecurity>0</DocSecurity>
  <Lines>9</Lines>
  <Paragraphs>2</Paragraphs>
  <ScaleCrop>false</ScaleCrop>
  <Company>Dickinson College</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ITConsult</dc:creator>
  <cp:keywords/>
  <dc:description/>
  <cp:lastModifiedBy>Kersh, Sarah</cp:lastModifiedBy>
  <cp:revision>3</cp:revision>
  <cp:lastPrinted>2016-04-04T12:04:00Z</cp:lastPrinted>
  <dcterms:created xsi:type="dcterms:W3CDTF">2015-03-24T12:26:00Z</dcterms:created>
  <dcterms:modified xsi:type="dcterms:W3CDTF">2016-04-04T12:05:00Z</dcterms:modified>
</cp:coreProperties>
</file>